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91" w:after="0" w:line="240"/>
        <w:ind w:right="209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91" w:after="0" w:line="240"/>
        <w:ind w:right="209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91" w:after="0" w:line="240"/>
        <w:ind w:right="209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Coláiste Gharumna</w:t>
      </w:r>
    </w:p>
    <w:p>
      <w:pPr>
        <w:spacing w:before="91" w:after="0" w:line="240"/>
        <w:ind w:right="209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Polasaí um Mhí-Úsáid Substaintí</w:t>
      </w:r>
    </w:p>
    <w:p>
      <w:pPr>
        <w:spacing w:before="91" w:after="0" w:line="240"/>
        <w:ind w:right="209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91" w:after="0" w:line="240"/>
        <w:ind w:right="209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Sainmhíniú ’drugaí’:</w:t>
      </w:r>
    </w:p>
    <w:p>
      <w:pPr>
        <w:spacing w:before="5" w:after="0" w:line="360"/>
        <w:ind w:right="141" w:left="212" w:firstLine="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Don Pholasaí seo bainfear úsáid as an téarma ‘drugaí’ chun tagairt a dhéanamh de shubstaintí mhídhleathacha (cannabis, ectasy etc.), chomh maith le tobac, alcól agus mi-úsáid leighis.</w:t>
      </w: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0" w:left="22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Smaointeoireacht:</w:t>
      </w:r>
    </w:p>
    <w:p>
      <w:pPr>
        <w:spacing w:before="0" w:after="0" w:line="360"/>
        <w:ind w:right="152" w:left="216" w:firstLine="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sochaí ina bhfuil fáil ar dhrugaí go héasca níor mhór don Choláiste polasaí oideachais dhrugaí a fhorbairt. Sí aidhm an pholasaí ná eolas, scileanna  agus an meon ceart a chur </w:t>
      </w:r>
      <w:r>
        <w:rPr>
          <w:rFonts w:ascii="Arial" w:hAnsi="Arial" w:cs="Arial" w:eastAsia="Arial"/>
          <w:color w:val="0E0E0E"/>
          <w:spacing w:val="0"/>
          <w:position w:val="0"/>
          <w:sz w:val="24"/>
          <w:shd w:fill="auto" w:val="clear"/>
        </w:rPr>
        <w:t xml:space="preserve">ar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fáil dár scoláirí i sochaí atá dírithe </w:t>
      </w:r>
      <w:r>
        <w:rPr>
          <w:rFonts w:ascii="Arial" w:hAnsi="Arial" w:cs="Arial" w:eastAsia="Arial"/>
          <w:color w:val="0F0F0F"/>
          <w:spacing w:val="0"/>
          <w:position w:val="0"/>
          <w:sz w:val="24"/>
          <w:shd w:fill="auto" w:val="clear"/>
        </w:rPr>
        <w:t xml:space="preserve">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dtreo drugaí agus </w:t>
      </w:r>
      <w:r>
        <w:rPr>
          <w:rFonts w:ascii="Arial" w:hAnsi="Arial" w:cs="Arial" w:eastAsia="Arial"/>
          <w:color w:val="151515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chinntiú go bhfuil rialacha atá soiléir ar fáil chun tabhairt faoi chásanna úsáid drugaí má tharlaíonn said. Teastaíonn co-oibriú idir na mic léinn agus an Coláiste, an pobal, seirbhísí leighis, Gardaí agus an rialtas chun mi úsáid drugaí a chosc. Ní féidir le pobal ar bith a cheapadh nach baol dá cuid mic léinn</w:t>
      </w:r>
      <w:r>
        <w:rPr>
          <w:rFonts w:ascii="Arial" w:hAnsi="Arial" w:cs="Arial" w:eastAsia="Arial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féin.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Aidhmeanna agus Cuspóirí an Pholasaí</w:t>
      </w:r>
    </w:p>
    <w:p>
      <w:pPr>
        <w:numPr>
          <w:ilvl w:val="0"/>
          <w:numId w:val="11"/>
        </w:numPr>
        <w:tabs>
          <w:tab w:val="left" w:pos="1117" w:leader="none"/>
          <w:tab w:val="left" w:pos="1118" w:leader="none"/>
        </w:tabs>
        <w:spacing w:before="9" w:after="0" w:line="357"/>
        <w:ind w:right="146" w:left="1119" w:hanging="35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Modhanna oibre a bhfuil glactha leo a leanacht go cóir agus go rialta nuair a bhíonn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gá</w:t>
      </w:r>
    </w:p>
    <w:p>
      <w:pPr>
        <w:numPr>
          <w:ilvl w:val="0"/>
          <w:numId w:val="11"/>
        </w:numPr>
        <w:tabs>
          <w:tab w:val="left" w:pos="1113" w:leader="none"/>
          <w:tab w:val="left" w:pos="1114" w:leader="none"/>
        </w:tabs>
        <w:spacing w:before="20" w:after="0" w:line="362"/>
        <w:ind w:right="144" w:left="1112" w:hanging="35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chinntiú go gcuirfear oiliúint ar fáil d’fhoireann an Choláiste chun an polasaí </w:t>
      </w:r>
      <w:r>
        <w:rPr>
          <w:rFonts w:ascii="Arial" w:hAnsi="Arial" w:cs="Arial" w:eastAsia="Arial"/>
          <w:color w:val="131313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chur i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bhfeidhm.</w:t>
      </w:r>
    </w:p>
    <w:p>
      <w:pPr>
        <w:numPr>
          <w:ilvl w:val="0"/>
          <w:numId w:val="11"/>
        </w:numPr>
        <w:tabs>
          <w:tab w:val="left" w:pos="1113" w:leader="none"/>
          <w:tab w:val="left" w:pos="1114" w:leader="none"/>
        </w:tabs>
        <w:spacing w:before="9" w:after="0" w:line="362"/>
        <w:ind w:right="138" w:left="1112" w:hanging="357"/>
        <w:jc w:val="left"/>
        <w:rPr>
          <w:rFonts w:ascii="Arial" w:hAnsi="Arial" w:cs="Arial" w:eastAsia="Arial"/>
          <w:color w:val="18181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chinntiú go bhfuil ar a laghad bah amháin den fhoireann cáilithe </w:t>
      </w:r>
      <w:r>
        <w:rPr>
          <w:rFonts w:ascii="Arial" w:hAnsi="Arial" w:cs="Arial" w:eastAsia="Arial"/>
          <w:color w:val="131313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ngarchabhair</w:t>
      </w:r>
    </w:p>
    <w:p>
      <w:pPr>
        <w:spacing w:before="64" w:after="0" w:line="240"/>
        <w:ind w:right="0" w:left="2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Ábhar an Pholasaí</w:t>
      </w:r>
    </w:p>
    <w:p>
      <w:pPr>
        <w:numPr>
          <w:ilvl w:val="0"/>
          <w:numId w:val="15"/>
        </w:numPr>
        <w:tabs>
          <w:tab w:val="left" w:pos="432" w:leader="none"/>
        </w:tabs>
        <w:spacing w:before="147" w:after="0" w:line="357"/>
        <w:ind w:right="137" w:left="212" w:firstLine="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209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Láimhseáil cásanna úsáid drugaí</w:t>
      </w:r>
    </w:p>
    <w:p>
      <w:pPr>
        <w:numPr>
          <w:ilvl w:val="0"/>
          <w:numId w:val="18"/>
        </w:numPr>
        <w:tabs>
          <w:tab w:val="left" w:pos="930" w:leader="none"/>
        </w:tabs>
        <w:spacing w:before="156" w:after="0" w:line="360"/>
        <w:ind w:right="138" w:left="924" w:hanging="357"/>
        <w:jc w:val="both"/>
        <w:rPr>
          <w:rFonts w:ascii="Arial" w:hAnsi="Arial" w:cs="Arial" w:eastAsia="Arial"/>
          <w:color w:val="1F1F1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Ós rud é go bhfuil sé mídhleathach tobac a chaitheamh i bhfoirgnimh poiblí.</w:t>
      </w:r>
    </w:p>
    <w:p>
      <w:pPr>
        <w:numPr>
          <w:ilvl w:val="0"/>
          <w:numId w:val="18"/>
        </w:numPr>
        <w:tabs>
          <w:tab w:val="left" w:pos="929" w:leader="none"/>
        </w:tabs>
        <w:spacing w:before="18" w:after="0" w:line="357"/>
        <w:ind w:right="137" w:left="928" w:hanging="361"/>
        <w:jc w:val="both"/>
        <w:rPr>
          <w:rFonts w:ascii="Arial" w:hAnsi="Arial" w:cs="Arial" w:eastAsia="Arial"/>
          <w:color w:val="111111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Tá cosc ar mhic léinn a bheith i seilbh alcóil, nó é </w:t>
      </w:r>
      <w:r>
        <w:rPr>
          <w:rFonts w:ascii="Arial" w:hAnsi="Arial" w:cs="Arial" w:eastAsia="Arial"/>
          <w:color w:val="111111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 i rith am an Choláiste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nó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F0F0F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0F0F0F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rith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ócáidí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Choláiste, turais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Choláiste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san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áireamh.</w:t>
      </w:r>
    </w:p>
    <w:p>
      <w:pPr>
        <w:numPr>
          <w:ilvl w:val="0"/>
          <w:numId w:val="18"/>
        </w:numPr>
        <w:tabs>
          <w:tab w:val="left" w:pos="929" w:leader="none"/>
        </w:tabs>
        <w:spacing w:before="20" w:after="0" w:line="357"/>
        <w:ind w:right="136" w:left="917" w:hanging="350"/>
        <w:jc w:val="both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Tã cosc ar mhic léinn agus ar gach duine a bhaineann úsáid as foirgnimh nó clós an Choláiste a bheith faoi thionchar substaintí mhídhleathacha nó iad a bheith ina seilbh. Má tharlaíonn eachtra a bhaineann le h- úsáid drugaí mídhleathacha, ‘sé polasaí an Choláiste freagairt i mbealach dian agus féaráilte ag cur san áireamh sábháilteacht agus leas an duine/na ndaoine atá i gceist, chomh maith le pobal iomlán an Choláiste. Déanfaidh an Coláiste iarracht a leithéid d’eachtra </w:t>
      </w:r>
      <w:r>
        <w:rPr>
          <w:rFonts w:ascii="Arial" w:hAnsi="Arial" w:cs="Arial" w:eastAsia="Arial"/>
          <w:color w:val="0C0C0C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Iáimhseáil go discréideach agus go goilliúnach ag comhlíonadh aon dualgaisí dleathacha a bheadh i gceist, (m.s. Gardai a chur ar an eolas).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  <w:t xml:space="preserve">Tuairisceoireacht Inmhéanach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  <w:t xml:space="preserve">Cuirfear an príomhoide ar an eolas faoi gach eachtra úsáid drugaí (agus cásanna amhrasacha).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  <w:t xml:space="preserve">Taifead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  <w:t xml:space="preserve">Coinneoidh an príomhoide cuntas faoi rún ar chuile chás a mbeidh tuairisc tugtha faoi. Sa gcuntas seo ba chóir go mbeadh tuairisc ar aon rabhadh nó comhairle a tugadh don mac léinn agus an toradh a bheadh ar aon athdhéanamh. 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  <w:t xml:space="preserve">Faoi Rún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  <w:t xml:space="preserve">Má bhíonn baint ag mic léinn le húsáid drugaí ní féidir geallúint go gcoinneofar an t-eachtra faoi rún mar gheall ar na srianta faoina n-oibríonn an Coláiste. Caithfear eolas a thabhairt do mhúinteoirí nó do sheirbhísí eachtracha ach déanfar é seo go discréideach agus go cuí. Cuirfear na teorainn seo in iúl do scoláirí sula bpléifear an cás go hoscailte más féidir.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</w:pP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  <w:t xml:space="preserve">Tuismitheoirí/Caomhnóirí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  <w:t xml:space="preserve">I gcás go mbíonn baint ag mic léinn le h-úsáid drugaí cuirfear tuismitheoir/caomhnóir ar an eolas chomh luath is gur féidir é, mar a bheadh a gcuid tacaíochta riachtannach i sárú na faidhbe. Tabharfar cuireadh chuig an gColáiste don tuismitheoir/caomhnóir chun an cás a phlé agus cuirfear é seo in iúl don mac léinn. Tabharfar eolas ar sheirbhísí do thuismitheoir/caomhnóir a bheadh ag iarraidh níos mó tacaíochta.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  <w:t xml:space="preserve">Gardaí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  <w:t xml:space="preserve">I gcásanna ina soláthraítear drugaí mídhleathacha sé polasaí an Choláiste ná na Gardaí a chur ar an eolas. Iarrfar comhairle ar na Gardaí freisin i gcásanna eile más gá. Braithfidh sé seo ar an bpríomhoide agus aon mhúinteoir cuí.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D1D1D"/>
          <w:spacing w:val="0"/>
          <w:position w:val="0"/>
          <w:sz w:val="24"/>
          <w:shd w:fill="auto" w:val="clear"/>
        </w:rPr>
        <w:t xml:space="preserve">Smachtbhannaí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  <w:t xml:space="preserve">De réir polasaí smachta an Choláiste beidh córas dian smachtbhannaí i bhfeidhm chun plé le mic léinn i gcásanna úsáide, seilbhe nó soláthar substaintí/drugaí mí dhleathacha. </w:t>
      </w:r>
    </w:p>
    <w:p>
      <w:pPr>
        <w:tabs>
          <w:tab w:val="left" w:pos="929" w:leader="none"/>
        </w:tabs>
        <w:spacing w:before="20" w:after="0" w:line="357"/>
        <w:ind w:right="136" w:left="0" w:firstLine="0"/>
        <w:jc w:val="left"/>
        <w:rPr>
          <w:rFonts w:ascii="Arial" w:hAnsi="Arial" w:cs="Arial" w:eastAsia="Arial"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gcásanna úsáide/seilbhe nó soláthar substaintí/drugaí mídhleathacha le linn am scoile nó le lin imeachtaí ar bith eagraithe ag an gColáiste lasmuigh nó lastigh den Choláiste, is eisiamh/díbirt ón gColáiste a bheidh i gceist.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Cuirfear an Bord Bainistíochta nó/agus Bord Oideachais agus Oiliúna ar an eolas faoi eachtra tromchúiseach. Beidh ceart achomhairc ag scoláire mar atá leagtha amach i gCód Iompar an Choláiste.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Curam/Comhairle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Mar gheall ar chontúirt úsáid drugaí mídhleathacha rachaidh foireann chúram tréada an Choláiste i gcomhairle leis na mic léinn a bhíonn i gceist agus más gá, cuirfear i dteagmháil iad le seirbhísí athshlánaithe. Tabharfar tacaíocht freisin do bhaill foirne a bheidh ag plé leis an gcás.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Fáil réidh le substaintí mhídhléathacha 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Má fhaightear substaintí mídhléathacha sa gColáiste nó i rith gníomhaíochtaí an choláiste, cuirfidh ball d’fhoireann an Choláiste in áit shábháillte é agus cuirfear fios ar an bPríomhoide chun é a bhailiú. Idir an dá linn ní láimseáltar an substaint thar mar is gá. 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Cuartú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Má cheaptar go bhfuil substaintí mídhleathacha sa gColáiste tá de cheart ag údaráis an Choláiste gach áit sa gColáiste a chuartú. Tabharfar seans do scoláire an substaint a thabhairt suas go deonach.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Má tá údar ann creidiúint go bhfuil scoláire i seilbh substaint mídhleathach iarrfar  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air/uirthi é a thabhairt suas go deonach. Má dhiúltaíonn sé/sí d’fhéadfaí glaoch ar na Gardaí chun an chuartú a stiúradh. Caithfidh beirt d’fhoireann an Choláiste bheith i láthair nuair atá cuartú de shaghas ar bith ar siúl.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Sábháilteacht agus Sláinte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Ag plé le cás éigeandála drugaí cuirfear fios ar bhaill den fhoireann an Choláiste atá cáilithe i ngarchabhair, cuirfear an príomhoide ar an eolas agus déanfar chuile iarracht teagmháil a dhéanamh le tuismitheoir/caomhnóirí an mac léinn. I gcásanna ailéirge go mór mhór i dtaobh leighis ní mór don mach léinn an t-eolas seo a bheith tugtha don phríomhoide.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Riaradh agus úsáid leighis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Ní thabharfaidh baill foinre seachas an Príomhoide (nó a (h)ionadaí), aon leigheas do scoláire seachas Paracetemol i gcásanna eisceachtúla, ach cead an mac léinn a bheith faighte ar dtús.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Má bhíonn ar scoláirí leighis a thógáil go rialta ní mór an t-eolas seo a bheith tugtha don phríomhoide. 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Monatóireacht &amp; Athbhreithniú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Déanfar monatóireacht rialta chun a chinntiú go gcuirfear an polasaí i bhfeidhm go h-éifeachtach. Déanfar athbhreithiú ar an bpolasaí mar chuid de chóras pleanála an Choláiste.  </w:t>
      </w: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08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5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